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546" w14:textId="75108318" w:rsidR="00A8474A" w:rsidRDefault="00A8474A" w:rsidP="007E74DE">
      <w:pPr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58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</w:t>
      </w:r>
      <w:r w:rsidR="009F51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</w:p>
    <w:p w14:paraId="51C59C4D" w14:textId="0BCAD7A9" w:rsidR="00A8474A" w:rsidRPr="00A8474A" w:rsidRDefault="00A8474A" w:rsidP="007E74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847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</w:t>
      </w:r>
    </w:p>
    <w:p w14:paraId="250A1A87" w14:textId="77777777" w:rsidR="00A8474A" w:rsidRPr="00A8474A" w:rsidRDefault="00A8474A" w:rsidP="007E74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847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İZLEME VE DEĞERLENDİRME UYGULAMASI</w:t>
      </w:r>
    </w:p>
    <w:p w14:paraId="010CE2F4" w14:textId="56BE4282" w:rsidR="00700F8D" w:rsidRDefault="00700F8D" w:rsidP="007E74DE">
      <w:pPr>
        <w:spacing w:after="0" w:line="240" w:lineRule="auto"/>
        <w:ind w:left="426"/>
        <w:jc w:val="both"/>
        <w:rPr>
          <w:rFonts w:eastAsia="Times New Roman" w:cstheme="minorHAnsi"/>
          <w:lang w:eastAsia="tr-TR"/>
        </w:rPr>
      </w:pPr>
    </w:p>
    <w:p w14:paraId="751C79D5" w14:textId="77777777" w:rsidR="00693CDB" w:rsidRDefault="00693CDB" w:rsidP="007E74DE">
      <w:pPr>
        <w:spacing w:after="0" w:line="240" w:lineRule="auto"/>
        <w:ind w:left="426"/>
        <w:jc w:val="both"/>
        <w:rPr>
          <w:rFonts w:eastAsia="Times New Roman" w:cstheme="minorHAnsi"/>
          <w:lang w:eastAsia="tr-TR"/>
        </w:rPr>
      </w:pPr>
    </w:p>
    <w:p w14:paraId="66CC4F83" w14:textId="2FBBB381" w:rsidR="00330817" w:rsidRDefault="00415D5D" w:rsidP="00330817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5447 sayılı Türkiye Bilişim Sektörünün </w:t>
      </w:r>
      <w:proofErr w:type="spellStart"/>
      <w:r w:rsidRPr="008F66EC">
        <w:rPr>
          <w:rFonts w:eastAsia="Times New Roman" w:cstheme="minorHAnsi"/>
          <w:sz w:val="24"/>
          <w:szCs w:val="24"/>
          <w:lang w:eastAsia="tr-TR"/>
        </w:rPr>
        <w:t>Uluslararasılaşması</w:t>
      </w:r>
      <w:proofErr w:type="spellEnd"/>
      <w:r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D7082" w:rsidRPr="008F66EC">
        <w:rPr>
          <w:rFonts w:eastAsia="Times New Roman" w:cstheme="minorHAnsi"/>
          <w:sz w:val="24"/>
          <w:szCs w:val="24"/>
          <w:lang w:eastAsia="tr-TR"/>
        </w:rPr>
        <w:t>ve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E-</w:t>
      </w:r>
      <w:r w:rsidR="00AB34B2" w:rsidRPr="00AB34B2">
        <w:rPr>
          <w:sz w:val="24"/>
          <w:szCs w:val="24"/>
        </w:rPr>
        <w:t>TURQUALITY</w:t>
      </w:r>
      <w:r w:rsidR="00AB34B2">
        <w:t xml:space="preserve"> </w:t>
      </w:r>
      <w:r w:rsidRPr="008F66EC">
        <w:rPr>
          <w:rFonts w:eastAsia="Times New Roman" w:cstheme="minorHAnsi"/>
          <w:sz w:val="24"/>
          <w:szCs w:val="24"/>
          <w:lang w:eastAsia="tr-TR"/>
        </w:rPr>
        <w:t>(Bilişimin Yıldızları) Programı Hakkında Karar’ın Uygulama Usul ve Esasları Genelgesi çerçevesinde E-T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URQ</w:t>
      </w:r>
      <w:r w:rsidR="00F61D16" w:rsidRPr="008F66EC">
        <w:rPr>
          <w:rFonts w:eastAsia="Times New Roman" w:cstheme="minorHAnsi"/>
          <w:sz w:val="24"/>
          <w:szCs w:val="24"/>
          <w:lang w:eastAsia="tr-TR"/>
        </w:rPr>
        <w:t>U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ALITY 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(Bilişimin Yıldızları) Programı kapsamında yer </w:t>
      </w:r>
      <w:r w:rsidR="005F589F" w:rsidRPr="008F66EC">
        <w:rPr>
          <w:rFonts w:eastAsia="Times New Roman" w:cstheme="minorHAnsi"/>
          <w:sz w:val="24"/>
          <w:szCs w:val="24"/>
          <w:lang w:eastAsia="tr-TR"/>
        </w:rPr>
        <w:t xml:space="preserve">alan şirketlerin program süresince kaydettikleri gelişmeleri ölçmek üzere </w:t>
      </w:r>
      <w:r w:rsidR="00AF7301">
        <w:rPr>
          <w:rFonts w:eastAsia="Times New Roman" w:cstheme="minorHAnsi"/>
          <w:sz w:val="24"/>
          <w:szCs w:val="24"/>
          <w:lang w:eastAsia="tr-TR"/>
        </w:rPr>
        <w:t xml:space="preserve">oluşturulan 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performans </w:t>
      </w:r>
      <w:r w:rsidR="00AF7301">
        <w:rPr>
          <w:rFonts w:eastAsia="Times New Roman" w:cstheme="minorHAnsi"/>
          <w:sz w:val="24"/>
          <w:szCs w:val="24"/>
          <w:lang w:eastAsia="tr-TR"/>
        </w:rPr>
        <w:t>i</w:t>
      </w:r>
      <w:r w:rsidR="00026D84" w:rsidRPr="008F66EC">
        <w:rPr>
          <w:rFonts w:eastAsia="Times New Roman" w:cstheme="minorHAnsi"/>
          <w:sz w:val="24"/>
          <w:szCs w:val="24"/>
          <w:lang w:eastAsia="tr-TR"/>
        </w:rPr>
        <w:t>zleme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ve</w:t>
      </w:r>
      <w:r w:rsidR="00026D84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AF7301">
        <w:rPr>
          <w:rFonts w:eastAsia="Times New Roman" w:cstheme="minorHAnsi"/>
          <w:sz w:val="24"/>
          <w:szCs w:val="24"/>
          <w:lang w:eastAsia="tr-TR"/>
        </w:rPr>
        <w:t>d</w:t>
      </w:r>
      <w:r w:rsidR="005F589F" w:rsidRPr="008F66EC">
        <w:rPr>
          <w:rFonts w:eastAsia="Times New Roman" w:cstheme="minorHAnsi"/>
          <w:sz w:val="24"/>
          <w:szCs w:val="24"/>
          <w:lang w:eastAsia="tr-TR"/>
        </w:rPr>
        <w:t xml:space="preserve">eğerlendirme </w:t>
      </w:r>
      <w:r w:rsidR="00AF7301">
        <w:rPr>
          <w:rFonts w:eastAsia="Times New Roman" w:cstheme="minorHAnsi"/>
          <w:sz w:val="24"/>
          <w:szCs w:val="24"/>
          <w:lang w:eastAsia="tr-TR"/>
        </w:rPr>
        <w:t>modeli aşağıdaki şekilde uygulanır</w:t>
      </w:r>
      <w:r w:rsidR="001859A5">
        <w:rPr>
          <w:rFonts w:eastAsia="Times New Roman" w:cstheme="minorHAnsi"/>
          <w:sz w:val="24"/>
          <w:szCs w:val="24"/>
          <w:lang w:eastAsia="tr-TR"/>
        </w:rPr>
        <w:t>.</w:t>
      </w:r>
    </w:p>
    <w:p w14:paraId="760A7C01" w14:textId="5484D01F" w:rsidR="00330817" w:rsidRDefault="00F159C7" w:rsidP="00330817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>E-TURQ</w:t>
      </w:r>
      <w:r w:rsidR="000046EF">
        <w:rPr>
          <w:rFonts w:eastAsia="Times New Roman" w:cstheme="minorHAnsi"/>
          <w:sz w:val="24"/>
          <w:szCs w:val="24"/>
          <w:lang w:eastAsia="tr-TR"/>
        </w:rPr>
        <w:t>U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ALITY (Bilişimin Yıldızları) 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>Destek Programı kapsamında bulunan şirket</w:t>
      </w:r>
      <w:r w:rsidR="00AF7301">
        <w:rPr>
          <w:rFonts w:eastAsia="Times New Roman" w:cstheme="minorHAnsi"/>
          <w:sz w:val="24"/>
          <w:szCs w:val="24"/>
          <w:lang w:eastAsia="tr-TR"/>
        </w:rPr>
        <w:t>,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F64C7" w:rsidRPr="00AF7301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kapsama alındığı yıldan sonra her yıl en geç</w:t>
      </w:r>
      <w:r w:rsidR="008F64C7" w:rsidRPr="00E044DF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gramStart"/>
      <w:r w:rsidR="008F64C7" w:rsidRPr="00E044DF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Haziran</w:t>
      </w:r>
      <w:proofErr w:type="gramEnd"/>
      <w:r w:rsidR="00740194" w:rsidRPr="00AF7301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r w:rsidR="008F64C7" w:rsidRPr="00AF7301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ayı sonuna kadar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 xml:space="preserve">, stratejik iş planında belirlenen hedeflerin gerçekleşme düzeyine ilişkin </w:t>
      </w:r>
      <w:r w:rsidR="008F64C7" w:rsidRPr="00AF7301">
        <w:rPr>
          <w:rFonts w:eastAsia="Times New Roman" w:cstheme="minorHAnsi"/>
          <w:b/>
          <w:bCs/>
          <w:sz w:val="24"/>
          <w:szCs w:val="24"/>
          <w:lang w:eastAsia="tr-TR"/>
        </w:rPr>
        <w:t>Proje İlerleme Formu</w:t>
      </w:r>
      <w:r w:rsidR="001D0B18" w:rsidRPr="00AF7301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(EK-63C)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 xml:space="preserve"> ile önceki dönemlere ait bağımsız denetim kuruluşu onaylı mali </w:t>
      </w:r>
      <w:r w:rsidR="00B5489C" w:rsidRPr="008F66EC">
        <w:rPr>
          <w:rFonts w:eastAsia="Times New Roman" w:cstheme="minorHAnsi"/>
          <w:sz w:val="24"/>
          <w:szCs w:val="24"/>
          <w:lang w:eastAsia="tr-TR"/>
        </w:rPr>
        <w:t>verileri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 xml:space="preserve"> içeren </w:t>
      </w:r>
      <w:r w:rsidR="008F64C7" w:rsidRPr="00AF7301">
        <w:rPr>
          <w:rFonts w:eastAsia="Times New Roman" w:cstheme="minorHAnsi"/>
          <w:b/>
          <w:bCs/>
          <w:sz w:val="24"/>
          <w:szCs w:val="24"/>
          <w:lang w:eastAsia="tr-TR"/>
        </w:rPr>
        <w:t>Veri Talep Formu</w:t>
      </w:r>
      <w:r w:rsidR="001D0B18" w:rsidRPr="00AF7301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(EK-63D)</w:t>
      </w:r>
      <w:r w:rsidR="00AF7301">
        <w:rPr>
          <w:rFonts w:eastAsia="Times New Roman" w:cstheme="minorHAnsi"/>
          <w:b/>
          <w:bCs/>
          <w:sz w:val="24"/>
          <w:szCs w:val="24"/>
          <w:lang w:eastAsia="tr-TR"/>
        </w:rPr>
        <w:t>’nu</w:t>
      </w:r>
      <w:r w:rsidR="008F64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30817">
        <w:rPr>
          <w:rFonts w:eastAsia="Times New Roman" w:cstheme="minorHAnsi"/>
          <w:sz w:val="24"/>
          <w:szCs w:val="24"/>
          <w:lang w:eastAsia="tr-TR"/>
        </w:rPr>
        <w:t xml:space="preserve">Hizmet İhracatçıları Birliği Genel Sekreterliği’ne iletir. Genel Sekreterlik, şirketler tarafından iletilen formları, temininden 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itibaren </w:t>
      </w:r>
      <w:r w:rsidR="00330817">
        <w:rPr>
          <w:rFonts w:eastAsia="Times New Roman" w:cstheme="minorHAnsi"/>
          <w:sz w:val="24"/>
          <w:szCs w:val="24"/>
          <w:lang w:eastAsia="tr-TR"/>
        </w:rPr>
        <w:t>en geç 15 gün içinde Genel Müdürlüğe sunar.</w:t>
      </w:r>
    </w:p>
    <w:p w14:paraId="26B36271" w14:textId="77777777" w:rsidR="00330817" w:rsidRDefault="00330817" w:rsidP="00330817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247B0791" w14:textId="0B442049" w:rsidR="00700F8D" w:rsidRPr="008F66EC" w:rsidRDefault="00B369CE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330817">
        <w:rPr>
          <w:rFonts w:eastAsia="Times New Roman" w:cstheme="minorHAnsi"/>
          <w:b/>
          <w:bCs/>
          <w:sz w:val="24"/>
          <w:szCs w:val="24"/>
          <w:lang w:eastAsia="tr-TR"/>
        </w:rPr>
        <w:t>1</w:t>
      </w:r>
      <w:r w:rsidRPr="008F66EC">
        <w:rPr>
          <w:rFonts w:eastAsia="Times New Roman" w:cstheme="minorHAnsi"/>
          <w:sz w:val="24"/>
          <w:szCs w:val="24"/>
          <w:lang w:eastAsia="tr-TR"/>
        </w:rPr>
        <w:t>.</w:t>
      </w:r>
      <w:r w:rsidR="00AF730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E-TURQ</w:t>
      </w:r>
      <w:r w:rsidR="00F61D16" w:rsidRPr="008F66EC">
        <w:rPr>
          <w:rFonts w:eastAsia="Times New Roman" w:cstheme="minorHAnsi"/>
          <w:sz w:val="24"/>
          <w:szCs w:val="24"/>
          <w:lang w:eastAsia="tr-TR"/>
        </w:rPr>
        <w:t>U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ALITY (Bilişimin Yıldızları) Destek Programı kapsamındaki şirketlere yönelik olarak Genel Müdürlükçe yapılacak performans değerlendirmesi neticesinde; </w:t>
      </w:r>
    </w:p>
    <w:p w14:paraId="011960B1" w14:textId="10217338" w:rsidR="00DA4A96" w:rsidRPr="008F66EC" w:rsidRDefault="00F159C7" w:rsidP="007C0D38">
      <w:pPr>
        <w:spacing w:after="120" w:line="276" w:lineRule="auto"/>
        <w:ind w:left="426" w:firstLine="282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a) </w:t>
      </w:r>
      <w:r w:rsidR="00CC4819">
        <w:rPr>
          <w:rFonts w:eastAsia="Times New Roman" w:cstheme="minorHAnsi"/>
          <w:sz w:val="24"/>
          <w:szCs w:val="24"/>
          <w:lang w:eastAsia="tr-TR"/>
        </w:rPr>
        <w:t>P</w:t>
      </w:r>
      <w:r w:rsidRPr="008F66EC">
        <w:rPr>
          <w:rFonts w:eastAsia="Times New Roman" w:cstheme="minorHAnsi"/>
          <w:sz w:val="24"/>
          <w:szCs w:val="24"/>
          <w:lang w:eastAsia="tr-TR"/>
        </w:rPr>
        <w:t>erformans puan</w:t>
      </w:r>
      <w:r w:rsidR="00A60402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yeterli bulunmayan </w:t>
      </w:r>
      <w:r w:rsidR="008D26A4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 için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destek oranı </w:t>
      </w:r>
      <w:r w:rsidR="00DA4A96" w:rsidRPr="008F66EC">
        <w:rPr>
          <w:rFonts w:eastAsia="Times New Roman" w:cstheme="minorHAnsi"/>
          <w:sz w:val="24"/>
          <w:szCs w:val="24"/>
          <w:lang w:eastAsia="tr-TR"/>
        </w:rPr>
        <w:t xml:space="preserve">10 puan düşürülerek </w:t>
      </w:r>
      <w:r w:rsidR="007E74DE">
        <w:rPr>
          <w:rFonts w:eastAsia="Times New Roman" w:cstheme="minorHAnsi"/>
          <w:sz w:val="24"/>
          <w:szCs w:val="24"/>
          <w:lang w:eastAsia="tr-TR"/>
        </w:rPr>
        <w:t>uygulanır.</w:t>
      </w:r>
    </w:p>
    <w:p w14:paraId="7DD0056B" w14:textId="670FDCA6" w:rsidR="00D05F33" w:rsidRPr="008F66EC" w:rsidRDefault="00F159C7" w:rsidP="007C0D38">
      <w:pPr>
        <w:spacing w:after="120" w:line="276" w:lineRule="auto"/>
        <w:ind w:left="426" w:firstLine="282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>b)</w:t>
      </w:r>
      <w:r w:rsidR="000A644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F66EC">
        <w:rPr>
          <w:rFonts w:eastAsia="Times New Roman" w:cstheme="minorHAnsi"/>
          <w:sz w:val="24"/>
          <w:szCs w:val="24"/>
          <w:lang w:eastAsia="tr-TR"/>
        </w:rPr>
        <w:t>(a)</w:t>
      </w:r>
      <w:r w:rsidR="000A644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 xml:space="preserve">fıkrası 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kapsamında işlem yapılan </w:t>
      </w:r>
      <w:r w:rsidR="00DA4A96" w:rsidRPr="008F66EC">
        <w:rPr>
          <w:rFonts w:eastAsia="Times New Roman" w:cstheme="minorHAnsi"/>
          <w:sz w:val="24"/>
          <w:szCs w:val="24"/>
          <w:lang w:eastAsia="tr-TR"/>
        </w:rPr>
        <w:t xml:space="preserve">şirketler </w:t>
      </w:r>
      <w:r w:rsidRPr="008F66EC">
        <w:rPr>
          <w:rFonts w:eastAsia="Times New Roman" w:cstheme="minorHAnsi"/>
          <w:sz w:val="24"/>
          <w:szCs w:val="24"/>
          <w:lang w:eastAsia="tr-TR"/>
        </w:rPr>
        <w:t>için müteakip yıl gerçekleştirilecek performans değerlendirmesi neticesinde;</w:t>
      </w:r>
    </w:p>
    <w:p w14:paraId="5BA914A1" w14:textId="0FE913EF" w:rsidR="00D05F33" w:rsidRPr="008F66EC" w:rsidRDefault="000A6441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  </w:t>
      </w:r>
      <w:r w:rsidR="007C0D38">
        <w:rPr>
          <w:rFonts w:eastAsia="Times New Roman" w:cstheme="minorHAnsi"/>
          <w:sz w:val="24"/>
          <w:szCs w:val="24"/>
          <w:lang w:eastAsia="tr-TR"/>
        </w:rPr>
        <w:tab/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(i) </w:t>
      </w:r>
      <w:r w:rsidR="007E74DE">
        <w:rPr>
          <w:rFonts w:eastAsia="Times New Roman" w:cstheme="minorHAnsi"/>
          <w:sz w:val="24"/>
          <w:szCs w:val="24"/>
          <w:lang w:eastAsia="tr-TR"/>
        </w:rPr>
        <w:t>P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erformans puan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yeterli bulunmayan </w:t>
      </w:r>
      <w:r w:rsidR="00DA4A96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 için</w:t>
      </w:r>
      <w:r w:rsidR="007E74D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destek oranı</w:t>
      </w:r>
      <w:r w:rsidR="00DA4A96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25 </w:t>
      </w:r>
      <w:r w:rsidR="00DA4A96" w:rsidRPr="008F66EC">
        <w:rPr>
          <w:rFonts w:eastAsia="Times New Roman" w:cstheme="minorHAnsi"/>
          <w:sz w:val="24"/>
          <w:szCs w:val="24"/>
          <w:lang w:eastAsia="tr-TR"/>
        </w:rPr>
        <w:t xml:space="preserve">puan düşürülerek </w:t>
      </w:r>
      <w:r w:rsidR="007E74DE">
        <w:rPr>
          <w:rFonts w:eastAsia="Times New Roman" w:cstheme="minorHAnsi"/>
          <w:sz w:val="24"/>
          <w:szCs w:val="24"/>
          <w:lang w:eastAsia="tr-TR"/>
        </w:rPr>
        <w:t>uygulanır.</w:t>
      </w:r>
    </w:p>
    <w:p w14:paraId="4B3C221C" w14:textId="333060C1" w:rsidR="008D26A4" w:rsidRPr="008F66EC" w:rsidRDefault="00F159C7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61D16" w:rsidRPr="008F66EC">
        <w:rPr>
          <w:rFonts w:eastAsia="Times New Roman" w:cstheme="minorHAnsi"/>
          <w:sz w:val="24"/>
          <w:szCs w:val="24"/>
          <w:lang w:eastAsia="tr-TR"/>
        </w:rPr>
        <w:tab/>
      </w:r>
      <w:r w:rsidR="007C0D38">
        <w:rPr>
          <w:rFonts w:eastAsia="Times New Roman" w:cstheme="minorHAnsi"/>
          <w:sz w:val="24"/>
          <w:szCs w:val="24"/>
          <w:lang w:eastAsia="tr-TR"/>
        </w:rPr>
        <w:tab/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(ii) </w:t>
      </w:r>
      <w:r w:rsidR="007E74DE">
        <w:rPr>
          <w:rFonts w:eastAsia="Times New Roman" w:cstheme="minorHAnsi"/>
          <w:sz w:val="24"/>
          <w:szCs w:val="24"/>
          <w:lang w:eastAsia="tr-TR"/>
        </w:rPr>
        <w:t>P</w:t>
      </w:r>
      <w:r w:rsidRPr="008F66EC">
        <w:rPr>
          <w:rFonts w:eastAsia="Times New Roman" w:cstheme="minorHAnsi"/>
          <w:sz w:val="24"/>
          <w:szCs w:val="24"/>
          <w:lang w:eastAsia="tr-TR"/>
        </w:rPr>
        <w:t>erformans puan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yeterli bulunan 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>,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 mevzuatta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 xml:space="preserve"> belirtilen destek oranları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>
        <w:rPr>
          <w:rFonts w:eastAsia="Times New Roman" w:cstheme="minorHAnsi"/>
          <w:sz w:val="24"/>
          <w:szCs w:val="24"/>
          <w:lang w:eastAsia="tr-TR"/>
        </w:rPr>
        <w:t>ile</w:t>
      </w:r>
      <w:r w:rsidR="00787A90" w:rsidRPr="008F66EC">
        <w:rPr>
          <w:rFonts w:eastAsia="Times New Roman" w:cstheme="minorHAnsi"/>
          <w:sz w:val="24"/>
          <w:szCs w:val="24"/>
          <w:lang w:eastAsia="tr-TR"/>
        </w:rPr>
        <w:t xml:space="preserve"> destekle</w:t>
      </w:r>
      <w:r w:rsidR="007E74DE">
        <w:rPr>
          <w:rFonts w:eastAsia="Times New Roman" w:cstheme="minorHAnsi"/>
          <w:sz w:val="24"/>
          <w:szCs w:val="24"/>
          <w:lang w:eastAsia="tr-TR"/>
        </w:rPr>
        <w:t>nmeye devam edilir.</w:t>
      </w:r>
    </w:p>
    <w:p w14:paraId="4EB5003F" w14:textId="0854A2A9" w:rsidR="00FA3178" w:rsidRPr="008F66EC" w:rsidRDefault="00F159C7" w:rsidP="007C0D38">
      <w:pPr>
        <w:spacing w:after="120" w:line="276" w:lineRule="auto"/>
        <w:ind w:left="426" w:firstLine="282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c) Bu 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maddenin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(b) 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fıkrasının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(i) bendi kapsamındaki 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 xml:space="preserve">şirketler </w:t>
      </w:r>
      <w:r w:rsidRPr="008F66EC">
        <w:rPr>
          <w:rFonts w:eastAsia="Times New Roman" w:cstheme="minorHAnsi"/>
          <w:sz w:val="24"/>
          <w:szCs w:val="24"/>
          <w:lang w:eastAsia="tr-TR"/>
        </w:rPr>
        <w:t>için müteakip yılda gerçekleştirilecek değerlendirme</w:t>
      </w:r>
      <w:r w:rsidR="007E74D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neticesinde, 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>performans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 xml:space="preserve"> puanı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yeterli bulunmayan </w:t>
      </w:r>
      <w:r w:rsidR="00A53064" w:rsidRPr="008F66EC">
        <w:rPr>
          <w:rFonts w:eastAsia="Times New Roman" w:cstheme="minorHAnsi"/>
          <w:sz w:val="24"/>
          <w:szCs w:val="24"/>
          <w:lang w:eastAsia="tr-TR"/>
        </w:rPr>
        <w:t xml:space="preserve">şirketler 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destek kapsamından çıkarılır; performans 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 xml:space="preserve">puanı </w:t>
      </w:r>
      <w:r w:rsidRPr="008F66EC">
        <w:rPr>
          <w:rFonts w:eastAsia="Times New Roman" w:cstheme="minorHAnsi"/>
          <w:sz w:val="24"/>
          <w:szCs w:val="24"/>
          <w:lang w:eastAsia="tr-TR"/>
        </w:rPr>
        <w:t>yeterli bulunan</w:t>
      </w:r>
      <w:r w:rsidR="0016523F" w:rsidRPr="008F66EC">
        <w:rPr>
          <w:rFonts w:eastAsia="Times New Roman" w:cstheme="minorHAnsi"/>
          <w:sz w:val="24"/>
          <w:szCs w:val="24"/>
          <w:lang w:eastAsia="tr-TR"/>
        </w:rPr>
        <w:t xml:space="preserve"> şirketler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1859A5">
        <w:rPr>
          <w:rFonts w:eastAsia="Times New Roman" w:cstheme="minorHAnsi"/>
          <w:sz w:val="24"/>
          <w:szCs w:val="24"/>
          <w:lang w:eastAsia="tr-TR"/>
        </w:rPr>
        <w:t>mevzuatta</w:t>
      </w:r>
      <w:r w:rsidR="00FA3178" w:rsidRPr="008F66EC">
        <w:rPr>
          <w:rFonts w:eastAsia="Times New Roman" w:cstheme="minorHAnsi"/>
          <w:sz w:val="24"/>
          <w:szCs w:val="24"/>
          <w:lang w:eastAsia="tr-TR"/>
        </w:rPr>
        <w:t xml:space="preserve"> belirtilen destek oranları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>
        <w:rPr>
          <w:rFonts w:eastAsia="Times New Roman" w:cstheme="minorHAnsi"/>
          <w:sz w:val="24"/>
          <w:szCs w:val="24"/>
          <w:lang w:eastAsia="tr-TR"/>
        </w:rPr>
        <w:t>ile</w:t>
      </w:r>
      <w:r w:rsidR="00FA3178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C0D38" w:rsidRPr="008F66EC">
        <w:rPr>
          <w:rFonts w:eastAsia="Times New Roman" w:cstheme="minorHAnsi"/>
          <w:sz w:val="24"/>
          <w:szCs w:val="24"/>
          <w:lang w:eastAsia="tr-TR"/>
        </w:rPr>
        <w:t>destekle</w:t>
      </w:r>
      <w:r w:rsidR="007C0D38">
        <w:rPr>
          <w:rFonts w:eastAsia="Times New Roman" w:cstheme="minorHAnsi"/>
          <w:sz w:val="24"/>
          <w:szCs w:val="24"/>
          <w:lang w:eastAsia="tr-TR"/>
        </w:rPr>
        <w:t>nmeye devam edilir.</w:t>
      </w:r>
    </w:p>
    <w:p w14:paraId="22464C1D" w14:textId="31F0F0AE" w:rsidR="00E31D4E" w:rsidRPr="008F66EC" w:rsidRDefault="00F159C7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C0D38">
        <w:rPr>
          <w:rFonts w:eastAsia="Times New Roman" w:cstheme="minorHAnsi"/>
          <w:sz w:val="24"/>
          <w:szCs w:val="24"/>
          <w:lang w:eastAsia="tr-TR"/>
        </w:rPr>
        <w:tab/>
      </w:r>
      <w:proofErr w:type="gramStart"/>
      <w:r w:rsidRPr="008F66EC">
        <w:rPr>
          <w:rFonts w:eastAsia="Times New Roman" w:cstheme="minorHAnsi"/>
          <w:sz w:val="24"/>
          <w:szCs w:val="24"/>
          <w:lang w:eastAsia="tr-TR"/>
        </w:rPr>
        <w:t>ç</w:t>
      </w:r>
      <w:proofErr w:type="gramEnd"/>
      <w:r w:rsidRPr="008F66EC">
        <w:rPr>
          <w:rFonts w:eastAsia="Times New Roman" w:cstheme="minorHAnsi"/>
          <w:sz w:val="24"/>
          <w:szCs w:val="24"/>
          <w:lang w:eastAsia="tr-TR"/>
        </w:rPr>
        <w:t>)</w:t>
      </w:r>
      <w:r w:rsidR="00DD782B">
        <w:rPr>
          <w:rFonts w:eastAsia="Times New Roman" w:cstheme="minorHAnsi"/>
          <w:sz w:val="24"/>
          <w:szCs w:val="24"/>
          <w:lang w:eastAsia="tr-TR"/>
        </w:rPr>
        <w:t xml:space="preserve"> P</w:t>
      </w:r>
      <w:r w:rsidRPr="008F66EC">
        <w:rPr>
          <w:rFonts w:eastAsia="Times New Roman" w:cstheme="minorHAnsi"/>
          <w:sz w:val="24"/>
          <w:szCs w:val="24"/>
          <w:lang w:eastAsia="tr-TR"/>
        </w:rPr>
        <w:t>erformans puan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yeterli bulunan </w:t>
      </w:r>
      <w:r w:rsidR="00FA3178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için müteakip yıllarda yapılacak değerlendirmelerde; performans puan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ının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yeterli bulunmaması halinde sırasıyla bu </w:t>
      </w:r>
      <w:r w:rsidR="0007125B">
        <w:rPr>
          <w:rFonts w:eastAsia="Times New Roman" w:cstheme="minorHAnsi"/>
          <w:sz w:val="24"/>
          <w:szCs w:val="24"/>
          <w:lang w:eastAsia="tr-TR"/>
        </w:rPr>
        <w:t>maddenin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(a), (b) ve (c) 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fıkralarında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yer alan ilgili hükümler uygulanır.</w:t>
      </w:r>
    </w:p>
    <w:p w14:paraId="394A5864" w14:textId="35A8AF30" w:rsidR="00DD782B" w:rsidRPr="008F66EC" w:rsidRDefault="00F159C7" w:rsidP="00DD782B">
      <w:pPr>
        <w:spacing w:after="120" w:line="276" w:lineRule="auto"/>
        <w:ind w:left="426" w:firstLine="282"/>
        <w:jc w:val="both"/>
        <w:rPr>
          <w:rFonts w:eastAsia="Times New Roman" w:cstheme="minorHAnsi"/>
          <w:sz w:val="24"/>
          <w:szCs w:val="24"/>
          <w:lang w:eastAsia="tr-TR"/>
        </w:rPr>
      </w:pPr>
      <w:r w:rsidRPr="008F66EC">
        <w:rPr>
          <w:rFonts w:eastAsia="Times New Roman" w:cstheme="minorHAnsi"/>
          <w:sz w:val="24"/>
          <w:szCs w:val="24"/>
          <w:lang w:eastAsia="tr-TR"/>
        </w:rPr>
        <w:t xml:space="preserve"> d) </w:t>
      </w:r>
      <w:r w:rsidR="00DD782B">
        <w:rPr>
          <w:rFonts w:eastAsia="Times New Roman" w:cstheme="minorHAnsi"/>
          <w:sz w:val="24"/>
          <w:szCs w:val="24"/>
          <w:lang w:eastAsia="tr-TR"/>
        </w:rPr>
        <w:t>P</w:t>
      </w:r>
      <w:r w:rsidRPr="008F66EC">
        <w:rPr>
          <w:rFonts w:eastAsia="Times New Roman" w:cstheme="minorHAnsi"/>
          <w:sz w:val="24"/>
          <w:szCs w:val="24"/>
          <w:lang w:eastAsia="tr-TR"/>
        </w:rPr>
        <w:t>erformans puan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Pr="008F66EC">
        <w:rPr>
          <w:rFonts w:eastAsia="Times New Roman" w:cstheme="minorHAnsi"/>
          <w:sz w:val="24"/>
          <w:szCs w:val="24"/>
          <w:lang w:eastAsia="tr-TR"/>
        </w:rPr>
        <w:t xml:space="preserve"> yeterli bulunan </w:t>
      </w:r>
      <w:r w:rsidR="00FA3178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="00740194" w:rsidRPr="008F66EC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1859A5">
        <w:rPr>
          <w:rFonts w:eastAsia="Times New Roman" w:cstheme="minorHAnsi"/>
          <w:sz w:val="24"/>
          <w:szCs w:val="24"/>
          <w:lang w:eastAsia="tr-TR"/>
        </w:rPr>
        <w:t>mevzuatta</w:t>
      </w:r>
      <w:r w:rsidR="00DD782B" w:rsidRPr="008F66EC">
        <w:rPr>
          <w:rFonts w:eastAsia="Times New Roman" w:cstheme="minorHAnsi"/>
          <w:sz w:val="24"/>
          <w:szCs w:val="24"/>
          <w:lang w:eastAsia="tr-TR"/>
        </w:rPr>
        <w:t xml:space="preserve"> belirtilen destek oranları </w:t>
      </w:r>
      <w:r w:rsidR="0007125B">
        <w:rPr>
          <w:rFonts w:eastAsia="Times New Roman" w:cstheme="minorHAnsi"/>
          <w:sz w:val="24"/>
          <w:szCs w:val="24"/>
          <w:lang w:eastAsia="tr-TR"/>
        </w:rPr>
        <w:t>ile</w:t>
      </w:r>
      <w:r w:rsidR="00DD782B" w:rsidRPr="008F66EC">
        <w:rPr>
          <w:rFonts w:eastAsia="Times New Roman" w:cstheme="minorHAnsi"/>
          <w:sz w:val="24"/>
          <w:szCs w:val="24"/>
          <w:lang w:eastAsia="tr-TR"/>
        </w:rPr>
        <w:t xml:space="preserve"> destekle</w:t>
      </w:r>
      <w:r w:rsidR="00DD782B">
        <w:rPr>
          <w:rFonts w:eastAsia="Times New Roman" w:cstheme="minorHAnsi"/>
          <w:sz w:val="24"/>
          <w:szCs w:val="24"/>
          <w:lang w:eastAsia="tr-TR"/>
        </w:rPr>
        <w:t>nmeye devam edilir.</w:t>
      </w:r>
    </w:p>
    <w:p w14:paraId="07A95B19" w14:textId="13C6BD07" w:rsidR="00BE5E24" w:rsidRDefault="00DD782B" w:rsidP="00BE5E24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330817"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>2</w:t>
      </w:r>
      <w:r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="004D2F7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Genel Müdürlükçe performans değerlendirmesinin yapıldığı tarih itibariyle, </w:t>
      </w:r>
      <w:r w:rsidR="0016523F" w:rsidRPr="008F66EC">
        <w:rPr>
          <w:rFonts w:eastAsia="Times New Roman" w:cstheme="minorHAnsi"/>
          <w:sz w:val="24"/>
          <w:szCs w:val="24"/>
          <w:lang w:eastAsia="tr-TR"/>
        </w:rPr>
        <w:t>Proje İlerleme Formu</w:t>
      </w:r>
      <w:r w:rsidR="0007125B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 w:rsidRPr="00990A78">
        <w:rPr>
          <w:rFonts w:eastAsia="Times New Roman" w:cstheme="minorHAnsi"/>
          <w:b/>
          <w:bCs/>
          <w:sz w:val="24"/>
          <w:szCs w:val="24"/>
          <w:lang w:eastAsia="tr-TR"/>
        </w:rPr>
        <w:t>(EK-63C)</w:t>
      </w:r>
      <w:r w:rsidR="0016523F" w:rsidRPr="008F66EC">
        <w:rPr>
          <w:rFonts w:eastAsia="Times New Roman" w:cstheme="minorHAnsi"/>
          <w:sz w:val="24"/>
          <w:szCs w:val="24"/>
          <w:lang w:eastAsia="tr-TR"/>
        </w:rPr>
        <w:t xml:space="preserve"> ile Veri Talep </w:t>
      </w:r>
      <w:r w:rsidR="00700F8D" w:rsidRPr="008F66EC">
        <w:rPr>
          <w:rFonts w:eastAsia="Times New Roman" w:cstheme="minorHAnsi"/>
          <w:sz w:val="24"/>
          <w:szCs w:val="24"/>
          <w:lang w:eastAsia="tr-TR"/>
        </w:rPr>
        <w:t>Formu</w:t>
      </w:r>
      <w:r w:rsidR="0007125B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 w:rsidRPr="00990A78">
        <w:rPr>
          <w:rFonts w:eastAsia="Times New Roman" w:cstheme="minorHAnsi"/>
          <w:b/>
          <w:bCs/>
          <w:sz w:val="24"/>
          <w:szCs w:val="24"/>
          <w:lang w:eastAsia="tr-TR"/>
        </w:rPr>
        <w:t>(EK-63D)</w:t>
      </w:r>
      <w:r w:rsidR="00700F8D" w:rsidRPr="008F66EC">
        <w:rPr>
          <w:rFonts w:eastAsia="Times New Roman" w:cstheme="minorHAnsi"/>
          <w:sz w:val="24"/>
          <w:szCs w:val="24"/>
          <w:lang w:eastAsia="tr-TR"/>
        </w:rPr>
        <w:t>’nu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>
        <w:rPr>
          <w:rFonts w:eastAsia="Times New Roman" w:cstheme="minorHAnsi"/>
          <w:sz w:val="24"/>
          <w:szCs w:val="24"/>
          <w:lang w:eastAsia="tr-TR"/>
        </w:rPr>
        <w:t>eksiksiz olarak sunmayan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6523F" w:rsidRPr="008F66EC">
        <w:rPr>
          <w:rFonts w:eastAsia="Times New Roman" w:cstheme="minorHAnsi"/>
          <w:sz w:val="24"/>
          <w:szCs w:val="24"/>
          <w:lang w:eastAsia="tr-TR"/>
        </w:rPr>
        <w:t>şirketlerin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ilgili yıldaki performans puan</w:t>
      </w:r>
      <w:r w:rsidR="00F237BD" w:rsidRPr="008F66EC">
        <w:rPr>
          <w:rFonts w:eastAsia="Times New Roman" w:cstheme="minorHAnsi"/>
          <w:sz w:val="24"/>
          <w:szCs w:val="24"/>
          <w:lang w:eastAsia="tr-TR"/>
        </w:rPr>
        <w:t>ı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0 </w:t>
      </w:r>
      <w:r w:rsidR="00F237BD" w:rsidRPr="008F66EC">
        <w:rPr>
          <w:rFonts w:eastAsia="Times New Roman" w:cstheme="minorHAnsi"/>
          <w:sz w:val="24"/>
          <w:szCs w:val="24"/>
          <w:lang w:eastAsia="tr-TR"/>
        </w:rPr>
        <w:t xml:space="preserve">(sıfır)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olarak belirlenir.</w:t>
      </w:r>
    </w:p>
    <w:p w14:paraId="42769A41" w14:textId="6CD75D08" w:rsidR="00BE5E24" w:rsidRPr="0007125B" w:rsidRDefault="0002707D" w:rsidP="00BE5E24">
      <w:pPr>
        <w:spacing w:after="120" w:line="276" w:lineRule="auto"/>
        <w:ind w:left="426"/>
        <w:jc w:val="both"/>
        <w:rPr>
          <w:rFonts w:eastAsia="Times New Roman" w:cstheme="minorHAnsi"/>
          <w:sz w:val="28"/>
          <w:szCs w:val="28"/>
          <w:lang w:eastAsia="tr-TR"/>
        </w:rPr>
      </w:pPr>
      <w:r w:rsidRPr="00330817">
        <w:rPr>
          <w:b/>
          <w:bCs/>
        </w:rPr>
        <w:t>3</w:t>
      </w:r>
      <w:r>
        <w:t xml:space="preserve">. </w:t>
      </w:r>
      <w:r w:rsidR="00BE5E24" w:rsidRPr="0007125B">
        <w:rPr>
          <w:sz w:val="24"/>
          <w:szCs w:val="24"/>
        </w:rPr>
        <w:t>İzleme ve değerlendirme</w:t>
      </w:r>
      <w:r w:rsidR="0007125B" w:rsidRPr="0007125B">
        <w:rPr>
          <w:sz w:val="24"/>
          <w:szCs w:val="24"/>
        </w:rPr>
        <w:t xml:space="preserve"> uygul</w:t>
      </w:r>
      <w:r w:rsidR="001859A5">
        <w:rPr>
          <w:sz w:val="24"/>
          <w:szCs w:val="24"/>
        </w:rPr>
        <w:t>a</w:t>
      </w:r>
      <w:r w:rsidR="0007125B" w:rsidRPr="0007125B">
        <w:rPr>
          <w:sz w:val="24"/>
          <w:szCs w:val="24"/>
        </w:rPr>
        <w:t>ması</w:t>
      </w:r>
      <w:r w:rsidR="00BE5E24" w:rsidRPr="0007125B">
        <w:rPr>
          <w:sz w:val="24"/>
          <w:szCs w:val="24"/>
        </w:rPr>
        <w:t xml:space="preserve"> kapsamında istenen bilgi ve belgeleri eksiksiz olarak süresi içinde tamamlamayan şirketlerin söz konusu verileri tamamlanana kadar </w:t>
      </w:r>
      <w:r w:rsidR="00D545E3" w:rsidRPr="0007125B">
        <w:rPr>
          <w:sz w:val="24"/>
          <w:szCs w:val="24"/>
        </w:rPr>
        <w:t xml:space="preserve">yapacakları </w:t>
      </w:r>
      <w:r w:rsidR="00BE5E24" w:rsidRPr="0007125B">
        <w:rPr>
          <w:sz w:val="24"/>
          <w:szCs w:val="24"/>
        </w:rPr>
        <w:t>destek başvuru</w:t>
      </w:r>
      <w:r w:rsidR="00D545E3" w:rsidRPr="0007125B">
        <w:rPr>
          <w:sz w:val="24"/>
          <w:szCs w:val="24"/>
        </w:rPr>
        <w:t>ları redde</w:t>
      </w:r>
      <w:r w:rsidR="001859A5">
        <w:rPr>
          <w:sz w:val="24"/>
          <w:szCs w:val="24"/>
        </w:rPr>
        <w:t>d</w:t>
      </w:r>
      <w:r w:rsidR="00D545E3" w:rsidRPr="0007125B">
        <w:rPr>
          <w:sz w:val="24"/>
          <w:szCs w:val="24"/>
        </w:rPr>
        <w:t xml:space="preserve">ilir. </w:t>
      </w:r>
      <w:r w:rsidR="0007125B" w:rsidRPr="0007125B">
        <w:rPr>
          <w:sz w:val="24"/>
          <w:szCs w:val="24"/>
        </w:rPr>
        <w:t>B</w:t>
      </w:r>
      <w:r w:rsidR="00BE5E24" w:rsidRPr="0007125B">
        <w:rPr>
          <w:sz w:val="24"/>
          <w:szCs w:val="24"/>
        </w:rPr>
        <w:t xml:space="preserve">u nedenle </w:t>
      </w:r>
      <w:r w:rsidR="0007125B" w:rsidRPr="0007125B">
        <w:rPr>
          <w:sz w:val="24"/>
          <w:szCs w:val="24"/>
        </w:rPr>
        <w:t>reddedilen destek başvuruları tekrar değerlendirmeye alınmaz.</w:t>
      </w:r>
    </w:p>
    <w:p w14:paraId="620577B6" w14:textId="4902FFFB" w:rsidR="00700F8D" w:rsidRPr="008F66EC" w:rsidRDefault="0002707D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330817">
        <w:rPr>
          <w:rFonts w:eastAsia="Times New Roman" w:cstheme="minorHAnsi"/>
          <w:b/>
          <w:bCs/>
          <w:sz w:val="24"/>
          <w:szCs w:val="24"/>
          <w:lang w:eastAsia="tr-TR"/>
        </w:rPr>
        <w:t>4</w:t>
      </w:r>
      <w:r w:rsidR="004D2F7F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="0050056B" w:rsidRPr="008F66EC">
        <w:rPr>
          <w:rFonts w:eastAsia="Times New Roman" w:cstheme="minorHAnsi"/>
          <w:sz w:val="24"/>
          <w:szCs w:val="24"/>
          <w:lang w:eastAsia="tr-TR"/>
        </w:rPr>
        <w:t>D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estek oranında yapılan </w:t>
      </w:r>
      <w:r w:rsidR="001859A5">
        <w:rPr>
          <w:rFonts w:eastAsia="Times New Roman" w:cstheme="minorHAnsi"/>
          <w:sz w:val="24"/>
          <w:szCs w:val="24"/>
          <w:lang w:eastAsia="tr-TR"/>
        </w:rPr>
        <w:t>değişiklikler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0A46C7">
        <w:rPr>
          <w:rFonts w:eastAsia="Times New Roman" w:cstheme="minorHAnsi"/>
          <w:sz w:val="24"/>
          <w:szCs w:val="24"/>
          <w:lang w:eastAsia="tr-TR"/>
        </w:rPr>
        <w:t>1.1.2024 tarihinden sonra gerçekleştirilen ve</w:t>
      </w:r>
      <w:r w:rsidR="000A46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ilgili performans değerlendirme</w:t>
      </w:r>
      <w:r w:rsidR="000A46C7">
        <w:rPr>
          <w:rFonts w:eastAsia="Times New Roman" w:cstheme="minorHAnsi"/>
          <w:sz w:val="24"/>
          <w:szCs w:val="24"/>
          <w:lang w:eastAsia="tr-TR"/>
        </w:rPr>
        <w:t xml:space="preserve"> uygulamasının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yapıldığı tarih itibariyle</w:t>
      </w:r>
      <w:r w:rsidR="001859A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henüz sonuçlandırılmamış tüm destek başvurularına uygulanır. Kapsamdan çıkarılma işleminde</w:t>
      </w:r>
      <w:r w:rsidR="0007125B">
        <w:rPr>
          <w:rFonts w:eastAsia="Times New Roman" w:cstheme="minorHAnsi"/>
          <w:sz w:val="24"/>
          <w:szCs w:val="24"/>
          <w:lang w:eastAsia="tr-TR"/>
        </w:rPr>
        <w:t xml:space="preserve"> ise</w:t>
      </w:r>
      <w:r w:rsidR="000C2199" w:rsidRPr="008F66EC">
        <w:rPr>
          <w:rFonts w:eastAsia="Times New Roman" w:cstheme="minorHAnsi"/>
          <w:sz w:val="24"/>
          <w:szCs w:val="24"/>
          <w:lang w:eastAsia="tr-TR"/>
        </w:rPr>
        <w:t xml:space="preserve"> şirketin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performans değerlendirme sonucunun </w:t>
      </w:r>
      <w:r w:rsidR="0050056B" w:rsidRPr="008F66EC">
        <w:rPr>
          <w:rFonts w:eastAsia="Times New Roman" w:cstheme="minorHAnsi"/>
          <w:sz w:val="24"/>
          <w:szCs w:val="24"/>
          <w:lang w:eastAsia="tr-TR"/>
        </w:rPr>
        <w:t xml:space="preserve">şirkete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bildirildiği tarihe kadar </w:t>
      </w:r>
      <w:r w:rsidR="0007125B">
        <w:rPr>
          <w:rFonts w:eastAsia="Times New Roman" w:cstheme="minorHAnsi"/>
          <w:sz w:val="24"/>
          <w:szCs w:val="24"/>
          <w:lang w:eastAsia="tr-TR"/>
        </w:rPr>
        <w:t>başvuru merciine</w:t>
      </w:r>
      <w:r w:rsidR="000C2199" w:rsidRPr="008F66EC">
        <w:rPr>
          <w:rFonts w:eastAsia="Times New Roman" w:cstheme="minorHAnsi"/>
          <w:sz w:val="24"/>
          <w:szCs w:val="24"/>
          <w:lang w:eastAsia="tr-TR"/>
        </w:rPr>
        <w:t xml:space="preserve"> iletilen </w:t>
      </w:r>
      <w:r w:rsidR="0007125B">
        <w:rPr>
          <w:rFonts w:eastAsia="Times New Roman" w:cstheme="minorHAnsi"/>
          <w:sz w:val="24"/>
          <w:szCs w:val="24"/>
          <w:lang w:eastAsia="tr-TR"/>
        </w:rPr>
        <w:t xml:space="preserve">destek başvuruları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incelenir; performans değerlendirme sonucunun </w:t>
      </w:r>
      <w:r w:rsidR="000C2199" w:rsidRPr="008F66EC">
        <w:rPr>
          <w:rFonts w:eastAsia="Times New Roman" w:cstheme="minorHAnsi"/>
          <w:sz w:val="24"/>
          <w:szCs w:val="24"/>
          <w:lang w:eastAsia="tr-TR"/>
        </w:rPr>
        <w:t xml:space="preserve">şirkete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bildirildiği tarihten sonra </w:t>
      </w:r>
      <w:r w:rsidR="00700F8D" w:rsidRPr="008F66EC">
        <w:rPr>
          <w:rFonts w:eastAsia="Times New Roman" w:cstheme="minorHAnsi"/>
          <w:sz w:val="24"/>
          <w:szCs w:val="24"/>
          <w:lang w:eastAsia="tr-TR"/>
        </w:rPr>
        <w:t>şirket tarafından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07125B">
        <w:rPr>
          <w:rFonts w:eastAsia="Times New Roman" w:cstheme="minorHAnsi"/>
          <w:sz w:val="24"/>
          <w:szCs w:val="24"/>
          <w:lang w:eastAsia="tr-TR"/>
        </w:rPr>
        <w:t>başvuru merciine</w:t>
      </w:r>
      <w:r w:rsidR="000C2199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herhangi bir destek başvurusu yapılamaz, varsa yapılmış olan</w:t>
      </w:r>
      <w:r w:rsidR="0007125B">
        <w:rPr>
          <w:rFonts w:eastAsia="Times New Roman" w:cstheme="minorHAnsi"/>
          <w:sz w:val="24"/>
          <w:szCs w:val="24"/>
          <w:lang w:eastAsia="tr-TR"/>
        </w:rPr>
        <w:t xml:space="preserve">lar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reddedilir.</w:t>
      </w:r>
      <w:r w:rsidR="002A280F">
        <w:rPr>
          <w:rFonts w:eastAsia="Times New Roman" w:cstheme="minorHAnsi"/>
          <w:sz w:val="24"/>
          <w:szCs w:val="24"/>
          <w:lang w:eastAsia="tr-TR"/>
        </w:rPr>
        <w:t xml:space="preserve"> Performans değerlendirmesi nedeniyle kapsamdan çıkarılan şirket tarafından gerçekleştirilmiş olan ön onay başvuruları değerlendirmeye alınmaz.</w:t>
      </w:r>
    </w:p>
    <w:p w14:paraId="5E03785D" w14:textId="76752D01" w:rsidR="000D3BE4" w:rsidRPr="008F66EC" w:rsidRDefault="0002707D" w:rsidP="004D2F7F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330817">
        <w:rPr>
          <w:rFonts w:eastAsia="Times New Roman" w:cstheme="minorHAnsi"/>
          <w:b/>
          <w:bCs/>
          <w:sz w:val="24"/>
          <w:szCs w:val="24"/>
          <w:lang w:eastAsia="tr-TR"/>
        </w:rPr>
        <w:t>5</w:t>
      </w:r>
      <w:r w:rsidR="004D2F7F">
        <w:rPr>
          <w:rFonts w:eastAsia="Times New Roman" w:cstheme="minorHAnsi"/>
          <w:sz w:val="24"/>
          <w:szCs w:val="24"/>
          <w:lang w:eastAsia="tr-TR"/>
        </w:rPr>
        <w:t xml:space="preserve">. İzleme ve </w:t>
      </w:r>
      <w:r w:rsidR="002A280F">
        <w:rPr>
          <w:rFonts w:eastAsia="Times New Roman" w:cstheme="minorHAnsi"/>
          <w:sz w:val="24"/>
          <w:szCs w:val="24"/>
          <w:lang w:eastAsia="tr-TR"/>
        </w:rPr>
        <w:t>d</w:t>
      </w:r>
      <w:r w:rsidR="004D2F7F">
        <w:rPr>
          <w:rFonts w:eastAsia="Times New Roman" w:cstheme="minorHAnsi"/>
          <w:sz w:val="24"/>
          <w:szCs w:val="24"/>
          <w:lang w:eastAsia="tr-TR"/>
        </w:rPr>
        <w:t xml:space="preserve">eğerlendirme </w:t>
      </w:r>
      <w:r w:rsidR="002A280F">
        <w:rPr>
          <w:rFonts w:eastAsia="Times New Roman" w:cstheme="minorHAnsi"/>
          <w:sz w:val="24"/>
          <w:szCs w:val="24"/>
          <w:lang w:eastAsia="tr-TR"/>
        </w:rPr>
        <w:t>u</w:t>
      </w:r>
      <w:r w:rsidR="004D2F7F">
        <w:rPr>
          <w:rFonts w:eastAsia="Times New Roman" w:cstheme="minorHAnsi"/>
          <w:sz w:val="24"/>
          <w:szCs w:val="24"/>
          <w:lang w:eastAsia="tr-TR"/>
        </w:rPr>
        <w:t>ygulaması u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yarınca</w:t>
      </w:r>
      <w:r w:rsidR="00F237BD" w:rsidRPr="008F66EC">
        <w:rPr>
          <w:rFonts w:eastAsia="Times New Roman" w:cstheme="minorHAnsi"/>
          <w:sz w:val="24"/>
          <w:szCs w:val="24"/>
          <w:lang w:eastAsia="tr-TR"/>
        </w:rPr>
        <w:t>,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destek kapsamından çıkarılan </w:t>
      </w:r>
      <w:r w:rsidR="00C40A41" w:rsidRPr="008F66EC">
        <w:rPr>
          <w:rFonts w:eastAsia="Times New Roman" w:cstheme="minorHAnsi"/>
          <w:sz w:val="24"/>
          <w:szCs w:val="24"/>
          <w:lang w:eastAsia="tr-TR"/>
        </w:rPr>
        <w:t>şirketler</w:t>
      </w:r>
      <w:r w:rsidR="00F237BD" w:rsidRPr="008F66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>tekrar</w:t>
      </w:r>
      <w:r w:rsidR="00C40A41" w:rsidRPr="008F66EC">
        <w:rPr>
          <w:rFonts w:eastAsia="Times New Roman" w:cstheme="minorHAnsi"/>
          <w:sz w:val="24"/>
          <w:szCs w:val="24"/>
          <w:lang w:eastAsia="tr-TR"/>
        </w:rPr>
        <w:t xml:space="preserve"> E-TURQ</w:t>
      </w:r>
      <w:r w:rsidR="00F61D16" w:rsidRPr="008F66EC">
        <w:rPr>
          <w:rFonts w:eastAsia="Times New Roman" w:cstheme="minorHAnsi"/>
          <w:sz w:val="24"/>
          <w:szCs w:val="24"/>
          <w:lang w:eastAsia="tr-TR"/>
        </w:rPr>
        <w:t>U</w:t>
      </w:r>
      <w:r w:rsidR="00C40A41" w:rsidRPr="008F66EC">
        <w:rPr>
          <w:rFonts w:eastAsia="Times New Roman" w:cstheme="minorHAnsi"/>
          <w:sz w:val="24"/>
          <w:szCs w:val="24"/>
          <w:lang w:eastAsia="tr-TR"/>
        </w:rPr>
        <w:t xml:space="preserve">ALITY (Bilişimin </w:t>
      </w:r>
      <w:r w:rsidR="00700F8D" w:rsidRPr="008F66EC">
        <w:rPr>
          <w:rFonts w:eastAsia="Times New Roman" w:cstheme="minorHAnsi"/>
          <w:sz w:val="24"/>
          <w:szCs w:val="24"/>
          <w:lang w:eastAsia="tr-TR"/>
        </w:rPr>
        <w:t>Yıldızları) Programına</w:t>
      </w:r>
      <w:r w:rsidR="00F159C7" w:rsidRPr="008F66EC">
        <w:rPr>
          <w:rFonts w:eastAsia="Times New Roman" w:cstheme="minorHAnsi"/>
          <w:sz w:val="24"/>
          <w:szCs w:val="24"/>
          <w:lang w:eastAsia="tr-TR"/>
        </w:rPr>
        <w:t xml:space="preserve"> alınmak üzere müracaatta bulunamaz</w:t>
      </w:r>
      <w:r w:rsidR="00700F8D" w:rsidRPr="008F66EC">
        <w:rPr>
          <w:rFonts w:eastAsia="Times New Roman" w:cstheme="minorHAnsi"/>
          <w:sz w:val="24"/>
          <w:szCs w:val="24"/>
          <w:lang w:eastAsia="tr-TR"/>
        </w:rPr>
        <w:t>.</w:t>
      </w:r>
    </w:p>
    <w:p w14:paraId="6563EF72" w14:textId="77777777" w:rsidR="000C2199" w:rsidRPr="008F66EC" w:rsidRDefault="000C2199" w:rsidP="007E74DE">
      <w:pPr>
        <w:spacing w:after="120" w:line="276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</w:p>
    <w:sectPr w:rsidR="000C2199" w:rsidRPr="008F66EC" w:rsidSect="004D2F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1276" w:left="851" w:header="56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641B" w14:textId="77777777" w:rsidR="006471A1" w:rsidRDefault="006471A1" w:rsidP="00FA1F05">
      <w:pPr>
        <w:spacing w:after="0" w:line="240" w:lineRule="auto"/>
      </w:pPr>
      <w:r>
        <w:separator/>
      </w:r>
    </w:p>
  </w:endnote>
  <w:endnote w:type="continuationSeparator" w:id="0">
    <w:p w14:paraId="4D1763DF" w14:textId="77777777" w:rsidR="006471A1" w:rsidRDefault="006471A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222340"/>
      <w:docPartObj>
        <w:docPartGallery w:val="Page Numbers (Bottom of Page)"/>
        <w:docPartUnique/>
      </w:docPartObj>
    </w:sdtPr>
    <w:sdtEndPr/>
    <w:sdtContent>
      <w:p w14:paraId="523B4AFA" w14:textId="0059E7A0" w:rsidR="004D2DB0" w:rsidRDefault="004D2D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374A476" w:rsidR="008F3741" w:rsidRDefault="008F3741" w:rsidP="00150522">
    <w:pPr>
      <w:ind w:hanging="25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611894"/>
      <w:docPartObj>
        <w:docPartGallery w:val="Page Numbers (Bottom of Page)"/>
        <w:docPartUnique/>
      </w:docPartObj>
    </w:sdtPr>
    <w:sdtEndPr/>
    <w:sdtContent>
      <w:p w14:paraId="7C3BBDB2" w14:textId="064203F2" w:rsidR="004D2DB0" w:rsidRDefault="004D2D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9B042" w14:textId="77777777" w:rsidR="004D2DB0" w:rsidRDefault="004D2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DB8D" w14:textId="77777777" w:rsidR="006471A1" w:rsidRDefault="006471A1" w:rsidP="00FA1F05">
      <w:pPr>
        <w:spacing w:after="0" w:line="240" w:lineRule="auto"/>
      </w:pPr>
      <w:r>
        <w:separator/>
      </w:r>
    </w:p>
  </w:footnote>
  <w:footnote w:type="continuationSeparator" w:id="0">
    <w:p w14:paraId="20D60890" w14:textId="77777777" w:rsidR="006471A1" w:rsidRDefault="006471A1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FB11" w14:textId="6EB2B666" w:rsidR="004D2DB0" w:rsidRDefault="004D2DB0">
    <w:pPr>
      <w:pStyle w:val="stBilgi"/>
      <w:jc w:val="center"/>
    </w:pPr>
  </w:p>
  <w:p w14:paraId="2190800F" w14:textId="77777777" w:rsidR="004D2DB0" w:rsidRDefault="004D2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44FC" w14:textId="3C871000" w:rsidR="00A8474A" w:rsidRPr="00787E27" w:rsidRDefault="00A8474A" w:rsidP="00787E2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</w:t>
    </w:r>
    <w:proofErr w:type="spellStart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Uluslararasılaşması</w:t>
    </w:r>
    <w:proofErr w:type="spellEnd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ve E-</w:t>
    </w:r>
    <w:proofErr w:type="spellStart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Turquality</w:t>
    </w:r>
    <w:proofErr w:type="spellEnd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</w:t>
    </w:r>
    <w:r w:rsidR="00787E27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44"/>
    <w:multiLevelType w:val="hybridMultilevel"/>
    <w:tmpl w:val="04FA30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7B4"/>
    <w:multiLevelType w:val="hybridMultilevel"/>
    <w:tmpl w:val="9E9AFF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A4A1E"/>
    <w:multiLevelType w:val="hybridMultilevel"/>
    <w:tmpl w:val="4704B6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C7526"/>
    <w:multiLevelType w:val="hybridMultilevel"/>
    <w:tmpl w:val="E2521FD6"/>
    <w:lvl w:ilvl="0" w:tplc="6568AEF2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3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A02D1"/>
    <w:multiLevelType w:val="hybridMultilevel"/>
    <w:tmpl w:val="09462D1A"/>
    <w:lvl w:ilvl="0" w:tplc="1506E7CC">
      <w:start w:val="1"/>
      <w:numFmt w:val="lowerLetter"/>
      <w:lvlText w:val="(%1)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114"/>
    <w:multiLevelType w:val="hybridMultilevel"/>
    <w:tmpl w:val="37E0ED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1234D"/>
    <w:multiLevelType w:val="hybridMultilevel"/>
    <w:tmpl w:val="A89E4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B765D"/>
    <w:multiLevelType w:val="hybridMultilevel"/>
    <w:tmpl w:val="26AAA6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B0C7D"/>
    <w:multiLevelType w:val="hybridMultilevel"/>
    <w:tmpl w:val="6D721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1F61"/>
    <w:multiLevelType w:val="hybridMultilevel"/>
    <w:tmpl w:val="46D6FA26"/>
    <w:lvl w:ilvl="0" w:tplc="3456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A21F3"/>
    <w:multiLevelType w:val="hybridMultilevel"/>
    <w:tmpl w:val="4D6C7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7E96"/>
    <w:multiLevelType w:val="hybridMultilevel"/>
    <w:tmpl w:val="83CCCD22"/>
    <w:lvl w:ilvl="0" w:tplc="FFFFFFFF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4AE2343"/>
    <w:multiLevelType w:val="hybridMultilevel"/>
    <w:tmpl w:val="ED127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1" w15:restartNumberingAfterBreak="0">
    <w:nsid w:val="793942CA"/>
    <w:multiLevelType w:val="hybridMultilevel"/>
    <w:tmpl w:val="FA869364"/>
    <w:lvl w:ilvl="0" w:tplc="66288D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3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4" w:hanging="360"/>
      </w:pPr>
    </w:lvl>
    <w:lvl w:ilvl="2" w:tplc="041F001B" w:tentative="1">
      <w:start w:val="1"/>
      <w:numFmt w:val="lowerRoman"/>
      <w:lvlText w:val="%3."/>
      <w:lvlJc w:val="right"/>
      <w:pPr>
        <w:ind w:left="2764" w:hanging="180"/>
      </w:pPr>
    </w:lvl>
    <w:lvl w:ilvl="3" w:tplc="041F000F" w:tentative="1">
      <w:start w:val="1"/>
      <w:numFmt w:val="decimal"/>
      <w:lvlText w:val="%4."/>
      <w:lvlJc w:val="left"/>
      <w:pPr>
        <w:ind w:left="3484" w:hanging="360"/>
      </w:pPr>
    </w:lvl>
    <w:lvl w:ilvl="4" w:tplc="041F0019" w:tentative="1">
      <w:start w:val="1"/>
      <w:numFmt w:val="lowerLetter"/>
      <w:lvlText w:val="%5."/>
      <w:lvlJc w:val="left"/>
      <w:pPr>
        <w:ind w:left="4204" w:hanging="360"/>
      </w:pPr>
    </w:lvl>
    <w:lvl w:ilvl="5" w:tplc="041F001B" w:tentative="1">
      <w:start w:val="1"/>
      <w:numFmt w:val="lowerRoman"/>
      <w:lvlText w:val="%6."/>
      <w:lvlJc w:val="right"/>
      <w:pPr>
        <w:ind w:left="4924" w:hanging="180"/>
      </w:pPr>
    </w:lvl>
    <w:lvl w:ilvl="6" w:tplc="041F000F" w:tentative="1">
      <w:start w:val="1"/>
      <w:numFmt w:val="decimal"/>
      <w:lvlText w:val="%7."/>
      <w:lvlJc w:val="left"/>
      <w:pPr>
        <w:ind w:left="5644" w:hanging="360"/>
      </w:pPr>
    </w:lvl>
    <w:lvl w:ilvl="7" w:tplc="041F0019" w:tentative="1">
      <w:start w:val="1"/>
      <w:numFmt w:val="lowerLetter"/>
      <w:lvlText w:val="%8."/>
      <w:lvlJc w:val="left"/>
      <w:pPr>
        <w:ind w:left="6364" w:hanging="360"/>
      </w:pPr>
    </w:lvl>
    <w:lvl w:ilvl="8" w:tplc="041F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6270"/>
    <w:multiLevelType w:val="hybridMultilevel"/>
    <w:tmpl w:val="B1AA57BE"/>
    <w:lvl w:ilvl="0" w:tplc="8B26B5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5A341B"/>
    <w:multiLevelType w:val="hybridMultilevel"/>
    <w:tmpl w:val="7A9AC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E7E"/>
    <w:multiLevelType w:val="hybridMultilevel"/>
    <w:tmpl w:val="4978CFD2"/>
    <w:lvl w:ilvl="0" w:tplc="0F80263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66288D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327" w:hanging="36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32"/>
  </w:num>
  <w:num w:numId="5">
    <w:abstractNumId w:val="5"/>
  </w:num>
  <w:num w:numId="6">
    <w:abstractNumId w:val="30"/>
  </w:num>
  <w:num w:numId="7">
    <w:abstractNumId w:val="44"/>
  </w:num>
  <w:num w:numId="8">
    <w:abstractNumId w:val="9"/>
  </w:num>
  <w:num w:numId="9">
    <w:abstractNumId w:val="33"/>
  </w:num>
  <w:num w:numId="10">
    <w:abstractNumId w:val="22"/>
  </w:num>
  <w:num w:numId="11">
    <w:abstractNumId w:val="3"/>
  </w:num>
  <w:num w:numId="12">
    <w:abstractNumId w:val="34"/>
  </w:num>
  <w:num w:numId="13">
    <w:abstractNumId w:val="16"/>
  </w:num>
  <w:num w:numId="14">
    <w:abstractNumId w:val="25"/>
  </w:num>
  <w:num w:numId="15">
    <w:abstractNumId w:val="4"/>
  </w:num>
  <w:num w:numId="16">
    <w:abstractNumId w:val="38"/>
  </w:num>
  <w:num w:numId="17">
    <w:abstractNumId w:val="47"/>
  </w:num>
  <w:num w:numId="18">
    <w:abstractNumId w:val="36"/>
  </w:num>
  <w:num w:numId="19">
    <w:abstractNumId w:val="8"/>
  </w:num>
  <w:num w:numId="20">
    <w:abstractNumId w:val="14"/>
  </w:num>
  <w:num w:numId="21">
    <w:abstractNumId w:val="10"/>
  </w:num>
  <w:num w:numId="22">
    <w:abstractNumId w:val="18"/>
  </w:num>
  <w:num w:numId="23">
    <w:abstractNumId w:val="6"/>
  </w:num>
  <w:num w:numId="24">
    <w:abstractNumId w:val="42"/>
  </w:num>
  <w:num w:numId="25">
    <w:abstractNumId w:val="7"/>
  </w:num>
  <w:num w:numId="26">
    <w:abstractNumId w:val="13"/>
  </w:num>
  <w:num w:numId="27">
    <w:abstractNumId w:val="39"/>
  </w:num>
  <w:num w:numId="28">
    <w:abstractNumId w:val="27"/>
  </w:num>
  <w:num w:numId="29">
    <w:abstractNumId w:val="37"/>
  </w:num>
  <w:num w:numId="30">
    <w:abstractNumId w:val="19"/>
  </w:num>
  <w:num w:numId="31">
    <w:abstractNumId w:val="40"/>
  </w:num>
  <w:num w:numId="32">
    <w:abstractNumId w:val="23"/>
  </w:num>
  <w:num w:numId="33">
    <w:abstractNumId w:val="12"/>
  </w:num>
  <w:num w:numId="34">
    <w:abstractNumId w:val="1"/>
  </w:num>
  <w:num w:numId="35">
    <w:abstractNumId w:val="31"/>
  </w:num>
  <w:num w:numId="36">
    <w:abstractNumId w:val="46"/>
  </w:num>
  <w:num w:numId="37">
    <w:abstractNumId w:val="41"/>
  </w:num>
  <w:num w:numId="38">
    <w:abstractNumId w:val="11"/>
  </w:num>
  <w:num w:numId="39">
    <w:abstractNumId w:val="43"/>
  </w:num>
  <w:num w:numId="40">
    <w:abstractNumId w:val="45"/>
  </w:num>
  <w:num w:numId="41">
    <w:abstractNumId w:val="20"/>
  </w:num>
  <w:num w:numId="42">
    <w:abstractNumId w:val="2"/>
  </w:num>
  <w:num w:numId="43">
    <w:abstractNumId w:val="15"/>
  </w:num>
  <w:num w:numId="44">
    <w:abstractNumId w:val="21"/>
  </w:num>
  <w:num w:numId="45">
    <w:abstractNumId w:val="28"/>
  </w:num>
  <w:num w:numId="46">
    <w:abstractNumId w:val="35"/>
  </w:num>
  <w:num w:numId="47">
    <w:abstractNumId w:val="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46EF"/>
    <w:rsid w:val="000174F0"/>
    <w:rsid w:val="00026D84"/>
    <w:rsid w:val="0002707D"/>
    <w:rsid w:val="00027630"/>
    <w:rsid w:val="00036EED"/>
    <w:rsid w:val="00051F73"/>
    <w:rsid w:val="0005488B"/>
    <w:rsid w:val="00056CDB"/>
    <w:rsid w:val="00063886"/>
    <w:rsid w:val="0007125B"/>
    <w:rsid w:val="00071A18"/>
    <w:rsid w:val="00071EDF"/>
    <w:rsid w:val="0007648E"/>
    <w:rsid w:val="0009735B"/>
    <w:rsid w:val="000A3BB2"/>
    <w:rsid w:val="000A46C7"/>
    <w:rsid w:val="000A6441"/>
    <w:rsid w:val="000B0C48"/>
    <w:rsid w:val="000B15A8"/>
    <w:rsid w:val="000C0229"/>
    <w:rsid w:val="000C2199"/>
    <w:rsid w:val="000C2B22"/>
    <w:rsid w:val="000C58FD"/>
    <w:rsid w:val="000D1C91"/>
    <w:rsid w:val="000D3BE4"/>
    <w:rsid w:val="000E2E7B"/>
    <w:rsid w:val="00102DF6"/>
    <w:rsid w:val="00105B99"/>
    <w:rsid w:val="001265B8"/>
    <w:rsid w:val="00131D13"/>
    <w:rsid w:val="001417C0"/>
    <w:rsid w:val="00146C78"/>
    <w:rsid w:val="00146F21"/>
    <w:rsid w:val="00147EFF"/>
    <w:rsid w:val="00150522"/>
    <w:rsid w:val="00151317"/>
    <w:rsid w:val="00157D7B"/>
    <w:rsid w:val="00157EBE"/>
    <w:rsid w:val="0016523F"/>
    <w:rsid w:val="00165962"/>
    <w:rsid w:val="00166D47"/>
    <w:rsid w:val="00173D68"/>
    <w:rsid w:val="00177676"/>
    <w:rsid w:val="0018127E"/>
    <w:rsid w:val="001859A5"/>
    <w:rsid w:val="001924E9"/>
    <w:rsid w:val="00196104"/>
    <w:rsid w:val="001971D8"/>
    <w:rsid w:val="001A0180"/>
    <w:rsid w:val="001A1B12"/>
    <w:rsid w:val="001A4E61"/>
    <w:rsid w:val="001B11C4"/>
    <w:rsid w:val="001B5596"/>
    <w:rsid w:val="001C43FD"/>
    <w:rsid w:val="001C7152"/>
    <w:rsid w:val="001D0B18"/>
    <w:rsid w:val="001D3B3F"/>
    <w:rsid w:val="001D4F78"/>
    <w:rsid w:val="001E1493"/>
    <w:rsid w:val="001E40E1"/>
    <w:rsid w:val="001E5CE4"/>
    <w:rsid w:val="001F0007"/>
    <w:rsid w:val="00206D4E"/>
    <w:rsid w:val="00207D6B"/>
    <w:rsid w:val="002116B6"/>
    <w:rsid w:val="00217F06"/>
    <w:rsid w:val="00223D9A"/>
    <w:rsid w:val="002240A7"/>
    <w:rsid w:val="0023158C"/>
    <w:rsid w:val="00233918"/>
    <w:rsid w:val="00236985"/>
    <w:rsid w:val="002369E2"/>
    <w:rsid w:val="00237974"/>
    <w:rsid w:val="00240F47"/>
    <w:rsid w:val="002511A8"/>
    <w:rsid w:val="002538EF"/>
    <w:rsid w:val="00260497"/>
    <w:rsid w:val="00266632"/>
    <w:rsid w:val="002811D5"/>
    <w:rsid w:val="0028155F"/>
    <w:rsid w:val="002855BE"/>
    <w:rsid w:val="00291528"/>
    <w:rsid w:val="002A280F"/>
    <w:rsid w:val="002B3A01"/>
    <w:rsid w:val="002B505E"/>
    <w:rsid w:val="002B5402"/>
    <w:rsid w:val="002B7570"/>
    <w:rsid w:val="002C270C"/>
    <w:rsid w:val="002D0980"/>
    <w:rsid w:val="002D0F85"/>
    <w:rsid w:val="002D73E4"/>
    <w:rsid w:val="002E17C4"/>
    <w:rsid w:val="002F25E3"/>
    <w:rsid w:val="00304C9B"/>
    <w:rsid w:val="003101C1"/>
    <w:rsid w:val="00310CE6"/>
    <w:rsid w:val="00312785"/>
    <w:rsid w:val="0032308C"/>
    <w:rsid w:val="00323121"/>
    <w:rsid w:val="00330817"/>
    <w:rsid w:val="00330EBB"/>
    <w:rsid w:val="00333BE5"/>
    <w:rsid w:val="003345D2"/>
    <w:rsid w:val="00336583"/>
    <w:rsid w:val="00340A82"/>
    <w:rsid w:val="00355D15"/>
    <w:rsid w:val="003605FB"/>
    <w:rsid w:val="003618CE"/>
    <w:rsid w:val="0036472E"/>
    <w:rsid w:val="003651C3"/>
    <w:rsid w:val="003669C5"/>
    <w:rsid w:val="003747FA"/>
    <w:rsid w:val="003770AB"/>
    <w:rsid w:val="00396E9C"/>
    <w:rsid w:val="00397EE5"/>
    <w:rsid w:val="003B59C7"/>
    <w:rsid w:val="003D1E2D"/>
    <w:rsid w:val="003D24FD"/>
    <w:rsid w:val="003D45FF"/>
    <w:rsid w:val="003D655B"/>
    <w:rsid w:val="003D7082"/>
    <w:rsid w:val="003E0DE0"/>
    <w:rsid w:val="003E68E6"/>
    <w:rsid w:val="003F17D0"/>
    <w:rsid w:val="003F7EA8"/>
    <w:rsid w:val="00411E83"/>
    <w:rsid w:val="00415434"/>
    <w:rsid w:val="00415D5D"/>
    <w:rsid w:val="00416ADF"/>
    <w:rsid w:val="00424B31"/>
    <w:rsid w:val="004312A2"/>
    <w:rsid w:val="00437A32"/>
    <w:rsid w:val="0044195A"/>
    <w:rsid w:val="00442781"/>
    <w:rsid w:val="00451017"/>
    <w:rsid w:val="00451565"/>
    <w:rsid w:val="00460FFA"/>
    <w:rsid w:val="004704B8"/>
    <w:rsid w:val="00473C0D"/>
    <w:rsid w:val="00484C32"/>
    <w:rsid w:val="00485A00"/>
    <w:rsid w:val="004A009C"/>
    <w:rsid w:val="004A5F7D"/>
    <w:rsid w:val="004B52F0"/>
    <w:rsid w:val="004B7FA4"/>
    <w:rsid w:val="004C2CAA"/>
    <w:rsid w:val="004C2D4F"/>
    <w:rsid w:val="004C4ACC"/>
    <w:rsid w:val="004D2DB0"/>
    <w:rsid w:val="004D2F7F"/>
    <w:rsid w:val="004E57B2"/>
    <w:rsid w:val="004E7F18"/>
    <w:rsid w:val="0050056B"/>
    <w:rsid w:val="00515202"/>
    <w:rsid w:val="0051646E"/>
    <w:rsid w:val="0052232E"/>
    <w:rsid w:val="005278D9"/>
    <w:rsid w:val="00537AC6"/>
    <w:rsid w:val="00553769"/>
    <w:rsid w:val="00570155"/>
    <w:rsid w:val="005705B3"/>
    <w:rsid w:val="005904EA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589F"/>
    <w:rsid w:val="0060502E"/>
    <w:rsid w:val="006146DA"/>
    <w:rsid w:val="0061516F"/>
    <w:rsid w:val="00616988"/>
    <w:rsid w:val="00616F76"/>
    <w:rsid w:val="00630930"/>
    <w:rsid w:val="00632C24"/>
    <w:rsid w:val="00636396"/>
    <w:rsid w:val="00643AAC"/>
    <w:rsid w:val="006471A1"/>
    <w:rsid w:val="00662DBC"/>
    <w:rsid w:val="006632DA"/>
    <w:rsid w:val="00672554"/>
    <w:rsid w:val="00683D50"/>
    <w:rsid w:val="00693CDB"/>
    <w:rsid w:val="00696695"/>
    <w:rsid w:val="006A415C"/>
    <w:rsid w:val="006B0B55"/>
    <w:rsid w:val="006B2957"/>
    <w:rsid w:val="006B4C95"/>
    <w:rsid w:val="006F0562"/>
    <w:rsid w:val="006F0DEE"/>
    <w:rsid w:val="006F4F2B"/>
    <w:rsid w:val="006F6485"/>
    <w:rsid w:val="006F65C5"/>
    <w:rsid w:val="00700F8D"/>
    <w:rsid w:val="00711E22"/>
    <w:rsid w:val="0071357C"/>
    <w:rsid w:val="00713CE5"/>
    <w:rsid w:val="007336C0"/>
    <w:rsid w:val="00740194"/>
    <w:rsid w:val="007460F7"/>
    <w:rsid w:val="00746D2D"/>
    <w:rsid w:val="00746FE1"/>
    <w:rsid w:val="00760F0F"/>
    <w:rsid w:val="007619F5"/>
    <w:rsid w:val="00762D39"/>
    <w:rsid w:val="00763006"/>
    <w:rsid w:val="007637A0"/>
    <w:rsid w:val="00773CFE"/>
    <w:rsid w:val="00780104"/>
    <w:rsid w:val="00780A16"/>
    <w:rsid w:val="00781E84"/>
    <w:rsid w:val="00783C2F"/>
    <w:rsid w:val="00787A90"/>
    <w:rsid w:val="00787E27"/>
    <w:rsid w:val="007973DF"/>
    <w:rsid w:val="007A52F7"/>
    <w:rsid w:val="007A7BB0"/>
    <w:rsid w:val="007C0D38"/>
    <w:rsid w:val="007D7447"/>
    <w:rsid w:val="007E5021"/>
    <w:rsid w:val="007E59E0"/>
    <w:rsid w:val="007E74DE"/>
    <w:rsid w:val="007F2816"/>
    <w:rsid w:val="007F4EA0"/>
    <w:rsid w:val="008013E6"/>
    <w:rsid w:val="008030A4"/>
    <w:rsid w:val="00814BB0"/>
    <w:rsid w:val="00814C25"/>
    <w:rsid w:val="00815BCA"/>
    <w:rsid w:val="0082517F"/>
    <w:rsid w:val="008256FC"/>
    <w:rsid w:val="00831188"/>
    <w:rsid w:val="0084277A"/>
    <w:rsid w:val="00846018"/>
    <w:rsid w:val="00850247"/>
    <w:rsid w:val="008508BB"/>
    <w:rsid w:val="00866F40"/>
    <w:rsid w:val="0087444E"/>
    <w:rsid w:val="00877395"/>
    <w:rsid w:val="00887D61"/>
    <w:rsid w:val="008916C4"/>
    <w:rsid w:val="00891C71"/>
    <w:rsid w:val="008A535D"/>
    <w:rsid w:val="008A7934"/>
    <w:rsid w:val="008A7D6B"/>
    <w:rsid w:val="008C1213"/>
    <w:rsid w:val="008C2046"/>
    <w:rsid w:val="008D1D86"/>
    <w:rsid w:val="008D26A4"/>
    <w:rsid w:val="008D7E86"/>
    <w:rsid w:val="008E4307"/>
    <w:rsid w:val="008E4485"/>
    <w:rsid w:val="008E51E4"/>
    <w:rsid w:val="008E6DE1"/>
    <w:rsid w:val="008F3017"/>
    <w:rsid w:val="008F3741"/>
    <w:rsid w:val="008F64C7"/>
    <w:rsid w:val="008F66EC"/>
    <w:rsid w:val="008F786F"/>
    <w:rsid w:val="008F7B90"/>
    <w:rsid w:val="008F7BE7"/>
    <w:rsid w:val="00903087"/>
    <w:rsid w:val="00903854"/>
    <w:rsid w:val="009104F9"/>
    <w:rsid w:val="009110F4"/>
    <w:rsid w:val="009129CE"/>
    <w:rsid w:val="00963D2D"/>
    <w:rsid w:val="009744BB"/>
    <w:rsid w:val="00974545"/>
    <w:rsid w:val="00981290"/>
    <w:rsid w:val="00985F06"/>
    <w:rsid w:val="00990A78"/>
    <w:rsid w:val="009A4026"/>
    <w:rsid w:val="009B4E3A"/>
    <w:rsid w:val="009C3EB8"/>
    <w:rsid w:val="009C69AB"/>
    <w:rsid w:val="009C7E4A"/>
    <w:rsid w:val="009D1A43"/>
    <w:rsid w:val="009D2D6C"/>
    <w:rsid w:val="009D4780"/>
    <w:rsid w:val="009F5120"/>
    <w:rsid w:val="009F63B4"/>
    <w:rsid w:val="00A1401F"/>
    <w:rsid w:val="00A17432"/>
    <w:rsid w:val="00A20B70"/>
    <w:rsid w:val="00A24F3D"/>
    <w:rsid w:val="00A438FE"/>
    <w:rsid w:val="00A45A79"/>
    <w:rsid w:val="00A51300"/>
    <w:rsid w:val="00A53064"/>
    <w:rsid w:val="00A54809"/>
    <w:rsid w:val="00A60402"/>
    <w:rsid w:val="00A62645"/>
    <w:rsid w:val="00A71A21"/>
    <w:rsid w:val="00A744D8"/>
    <w:rsid w:val="00A801DA"/>
    <w:rsid w:val="00A83E6C"/>
    <w:rsid w:val="00A8474A"/>
    <w:rsid w:val="00A84F03"/>
    <w:rsid w:val="00A90842"/>
    <w:rsid w:val="00A94F7A"/>
    <w:rsid w:val="00AA1188"/>
    <w:rsid w:val="00AA497C"/>
    <w:rsid w:val="00AB34B2"/>
    <w:rsid w:val="00AC1362"/>
    <w:rsid w:val="00AD1592"/>
    <w:rsid w:val="00AE178A"/>
    <w:rsid w:val="00AF207D"/>
    <w:rsid w:val="00AF4F89"/>
    <w:rsid w:val="00AF7301"/>
    <w:rsid w:val="00B04ED7"/>
    <w:rsid w:val="00B07ECE"/>
    <w:rsid w:val="00B17C4A"/>
    <w:rsid w:val="00B25046"/>
    <w:rsid w:val="00B369CE"/>
    <w:rsid w:val="00B37DFD"/>
    <w:rsid w:val="00B408EC"/>
    <w:rsid w:val="00B43779"/>
    <w:rsid w:val="00B43C7F"/>
    <w:rsid w:val="00B51D9E"/>
    <w:rsid w:val="00B52886"/>
    <w:rsid w:val="00B52D42"/>
    <w:rsid w:val="00B53EB3"/>
    <w:rsid w:val="00B5489C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599D"/>
    <w:rsid w:val="00BE5E24"/>
    <w:rsid w:val="00BE62C0"/>
    <w:rsid w:val="00BF0828"/>
    <w:rsid w:val="00BF1FA5"/>
    <w:rsid w:val="00BF2AEE"/>
    <w:rsid w:val="00BF32B4"/>
    <w:rsid w:val="00BF55BF"/>
    <w:rsid w:val="00BF6C05"/>
    <w:rsid w:val="00C11A27"/>
    <w:rsid w:val="00C21A6D"/>
    <w:rsid w:val="00C21B31"/>
    <w:rsid w:val="00C22836"/>
    <w:rsid w:val="00C25728"/>
    <w:rsid w:val="00C337C5"/>
    <w:rsid w:val="00C3714A"/>
    <w:rsid w:val="00C40A41"/>
    <w:rsid w:val="00C64B87"/>
    <w:rsid w:val="00C73B3C"/>
    <w:rsid w:val="00C77A6B"/>
    <w:rsid w:val="00C83FE9"/>
    <w:rsid w:val="00C90947"/>
    <w:rsid w:val="00C919C6"/>
    <w:rsid w:val="00C96454"/>
    <w:rsid w:val="00C96D8D"/>
    <w:rsid w:val="00C97E98"/>
    <w:rsid w:val="00CA51FC"/>
    <w:rsid w:val="00CA7BF6"/>
    <w:rsid w:val="00CC06BB"/>
    <w:rsid w:val="00CC39D1"/>
    <w:rsid w:val="00CC4819"/>
    <w:rsid w:val="00CD1BE5"/>
    <w:rsid w:val="00D05F33"/>
    <w:rsid w:val="00D239A2"/>
    <w:rsid w:val="00D267F7"/>
    <w:rsid w:val="00D545E3"/>
    <w:rsid w:val="00D60BB2"/>
    <w:rsid w:val="00D6157F"/>
    <w:rsid w:val="00D619FC"/>
    <w:rsid w:val="00D82DD0"/>
    <w:rsid w:val="00D83303"/>
    <w:rsid w:val="00D87C5E"/>
    <w:rsid w:val="00DA4A96"/>
    <w:rsid w:val="00DC0CBB"/>
    <w:rsid w:val="00DC403B"/>
    <w:rsid w:val="00DC5DA4"/>
    <w:rsid w:val="00DD29F1"/>
    <w:rsid w:val="00DD3589"/>
    <w:rsid w:val="00DD5382"/>
    <w:rsid w:val="00DD782B"/>
    <w:rsid w:val="00DD79EA"/>
    <w:rsid w:val="00DF21E0"/>
    <w:rsid w:val="00E01BE7"/>
    <w:rsid w:val="00E044DF"/>
    <w:rsid w:val="00E229CE"/>
    <w:rsid w:val="00E26A99"/>
    <w:rsid w:val="00E31D4E"/>
    <w:rsid w:val="00E36727"/>
    <w:rsid w:val="00E5243F"/>
    <w:rsid w:val="00E55CF7"/>
    <w:rsid w:val="00E60107"/>
    <w:rsid w:val="00E61F32"/>
    <w:rsid w:val="00E65524"/>
    <w:rsid w:val="00E67864"/>
    <w:rsid w:val="00E82956"/>
    <w:rsid w:val="00E86E08"/>
    <w:rsid w:val="00EA2CF4"/>
    <w:rsid w:val="00EA5585"/>
    <w:rsid w:val="00EB3890"/>
    <w:rsid w:val="00EB6E41"/>
    <w:rsid w:val="00EE1325"/>
    <w:rsid w:val="00EE3725"/>
    <w:rsid w:val="00EE5CB6"/>
    <w:rsid w:val="00EE6C18"/>
    <w:rsid w:val="00EF607E"/>
    <w:rsid w:val="00EF7892"/>
    <w:rsid w:val="00F0246C"/>
    <w:rsid w:val="00F03BA7"/>
    <w:rsid w:val="00F06E95"/>
    <w:rsid w:val="00F12FC8"/>
    <w:rsid w:val="00F159C7"/>
    <w:rsid w:val="00F167F9"/>
    <w:rsid w:val="00F175D9"/>
    <w:rsid w:val="00F237BD"/>
    <w:rsid w:val="00F45D4F"/>
    <w:rsid w:val="00F54F05"/>
    <w:rsid w:val="00F61D16"/>
    <w:rsid w:val="00F65BD1"/>
    <w:rsid w:val="00F6760B"/>
    <w:rsid w:val="00F751D8"/>
    <w:rsid w:val="00F75EC1"/>
    <w:rsid w:val="00F810ED"/>
    <w:rsid w:val="00F84CF8"/>
    <w:rsid w:val="00F84D16"/>
    <w:rsid w:val="00F909B3"/>
    <w:rsid w:val="00F94F9D"/>
    <w:rsid w:val="00FA1F05"/>
    <w:rsid w:val="00FA3178"/>
    <w:rsid w:val="00FA7714"/>
    <w:rsid w:val="00FA772A"/>
    <w:rsid w:val="00FB0BB1"/>
    <w:rsid w:val="00FC1A42"/>
    <w:rsid w:val="00FC1A59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A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7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7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79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7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7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4B7-703B-4978-B439-7032A71F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47</cp:revision>
  <cp:lastPrinted>2024-04-02T14:20:00Z</cp:lastPrinted>
  <dcterms:created xsi:type="dcterms:W3CDTF">2024-03-12T08:02:00Z</dcterms:created>
  <dcterms:modified xsi:type="dcterms:W3CDTF">2024-04-08T14:58:00Z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user=34114522158</vt:lpwstr>
  </property>
  <property fmtid="{D5CDD505-2E9C-101B-9397-08002B2CF9AE}" pid="4" name="geodilabeltime">
    <vt:lpwstr>datetime=2024-03-15T08:26:53.296Z</vt:lpwstr>
  </property>
</Properties>
</file>